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65" w:rsidRDefault="00571ACB" w:rsidP="0015080C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43AAFA7" wp14:editId="3A719467">
            <wp:extent cx="1657350" cy="991235"/>
            <wp:effectExtent l="0" t="0" r="0" b="0"/>
            <wp:docPr id="1" name="Picture 1" descr="G:\Haa\HAA Logo\lo res - for webemail\black logos - lo-res\jpeg-white bground\HAA-blk-lg-shld-ctr-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Haa\HAA Logo\lo res - for webemail\black logos - lo-res\jpeg-white bground\HAA-blk-lg-shld-ctr-lo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965" w:rsidRPr="00B27965" w:rsidRDefault="00B27965" w:rsidP="00B27965">
      <w:pPr>
        <w:pStyle w:val="NoSpacing"/>
        <w:pBdr>
          <w:bottom w:val="single" w:sz="4" w:space="1" w:color="auto"/>
        </w:pBdr>
        <w:jc w:val="center"/>
        <w:rPr>
          <w:b/>
        </w:rPr>
      </w:pPr>
    </w:p>
    <w:p w:rsidR="00B27965" w:rsidRDefault="00B27965" w:rsidP="00571ACB">
      <w:pPr>
        <w:pStyle w:val="NoSpacing"/>
      </w:pPr>
    </w:p>
    <w:p w:rsidR="00214B6B" w:rsidRDefault="001A420D" w:rsidP="00537639">
      <w:pPr>
        <w:pStyle w:val="NoSpacing"/>
        <w:rPr>
          <w:b/>
        </w:rPr>
      </w:pPr>
      <w:r>
        <w:rPr>
          <w:b/>
        </w:rPr>
        <w:t>What do</w:t>
      </w:r>
      <w:r w:rsidR="00340976">
        <w:rPr>
          <w:b/>
        </w:rPr>
        <w:t>es the HAA do?</w:t>
      </w:r>
    </w:p>
    <w:p w:rsidR="00214B6B" w:rsidRDefault="001A420D" w:rsidP="00537639">
      <w:pPr>
        <w:pStyle w:val="NoSpacing"/>
        <w:rPr>
          <w:b/>
        </w:rPr>
      </w:pPr>
      <w:r w:rsidRPr="00537639">
        <w:rPr>
          <w:noProof/>
        </w:rPr>
        <w:drawing>
          <wp:anchor distT="0" distB="0" distL="114300" distR="114300" simplePos="0" relativeHeight="251658240" behindDoc="0" locked="0" layoutInCell="1" allowOverlap="1" wp14:anchorId="5AAB9F34" wp14:editId="050778AB">
            <wp:simplePos x="0" y="0"/>
            <wp:positionH relativeFrom="column">
              <wp:posOffset>0</wp:posOffset>
            </wp:positionH>
            <wp:positionV relativeFrom="paragraph">
              <wp:posOffset>60325</wp:posOffset>
            </wp:positionV>
            <wp:extent cx="2080260" cy="1179195"/>
            <wp:effectExtent l="0" t="0" r="0" b="0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B6B" w:rsidRDefault="00214B6B" w:rsidP="00537639">
      <w:pPr>
        <w:pStyle w:val="NoSpacing"/>
        <w:rPr>
          <w:b/>
        </w:rPr>
      </w:pPr>
    </w:p>
    <w:p w:rsidR="00537639" w:rsidRPr="00214B6B" w:rsidRDefault="00214B6B" w:rsidP="00537639">
      <w:pPr>
        <w:pStyle w:val="NoSpacing"/>
        <w:rPr>
          <w:b/>
        </w:rPr>
      </w:pPr>
      <w:r>
        <w:t>The HAA pr</w:t>
      </w:r>
      <w:r w:rsidR="00537639" w:rsidRPr="004E2134">
        <w:t>omote</w:t>
      </w:r>
      <w:r>
        <w:t>s</w:t>
      </w:r>
      <w:r w:rsidR="00537639" w:rsidRPr="004E2134">
        <w:t xml:space="preserve"> the welfare of Harvard University and the establishment of a mutually beneficial relationship between Harvard University and its alumni.</w:t>
      </w:r>
    </w:p>
    <w:p w:rsidR="004E2134" w:rsidRPr="004E2134" w:rsidRDefault="004E2134" w:rsidP="004E2134">
      <w:pPr>
        <w:pStyle w:val="NoSpacing"/>
      </w:pPr>
    </w:p>
    <w:p w:rsidR="00537639" w:rsidRDefault="00537639" w:rsidP="004E2134">
      <w:pPr>
        <w:pStyle w:val="NoSpacing"/>
      </w:pPr>
    </w:p>
    <w:p w:rsidR="00537639" w:rsidRDefault="00537639" w:rsidP="004E2134">
      <w:pPr>
        <w:pStyle w:val="NoSpacing"/>
      </w:pPr>
    </w:p>
    <w:p w:rsidR="001A420D" w:rsidRDefault="001A420D" w:rsidP="00365A85">
      <w:pPr>
        <w:pStyle w:val="NoSpacing"/>
        <w:rPr>
          <w:b/>
        </w:rPr>
      </w:pPr>
      <w:r>
        <w:rPr>
          <w:b/>
        </w:rPr>
        <w:t>What is the mission of the HAA Board?</w:t>
      </w:r>
    </w:p>
    <w:p w:rsidR="001A420D" w:rsidRDefault="001A420D" w:rsidP="00365A85">
      <w:pPr>
        <w:pStyle w:val="NoSpacing"/>
        <w:rPr>
          <w:b/>
        </w:rPr>
      </w:pPr>
    </w:p>
    <w:p w:rsidR="001A420D" w:rsidRPr="001A420D" w:rsidRDefault="001A420D" w:rsidP="00365A85">
      <w:pPr>
        <w:pStyle w:val="NoSpacing"/>
      </w:pPr>
      <w:r w:rsidRPr="001A420D">
        <w:t>The HAA Board of Directors exists to foster alumni community building and to create University citizens of our alumni volunteers and alumni broadly.</w:t>
      </w:r>
    </w:p>
    <w:p w:rsidR="001A420D" w:rsidRPr="001A420D" w:rsidRDefault="001A420D" w:rsidP="00365A85">
      <w:pPr>
        <w:pStyle w:val="NoSpacing"/>
      </w:pPr>
    </w:p>
    <w:p w:rsidR="00365A85" w:rsidRDefault="00365A85" w:rsidP="00365A85">
      <w:pPr>
        <w:pStyle w:val="NoSpacing"/>
        <w:rPr>
          <w:b/>
        </w:rPr>
      </w:pPr>
      <w:r w:rsidRPr="00365A85">
        <w:rPr>
          <w:b/>
        </w:rPr>
        <w:t>Wh</w:t>
      </w:r>
      <w:r>
        <w:rPr>
          <w:b/>
        </w:rPr>
        <w:t>y does it matter?</w:t>
      </w:r>
    </w:p>
    <w:p w:rsidR="00365A85" w:rsidRDefault="00365A85" w:rsidP="00365A85">
      <w:pPr>
        <w:pStyle w:val="NoSpacing"/>
        <w:rPr>
          <w:b/>
        </w:rPr>
      </w:pPr>
    </w:p>
    <w:p w:rsidR="00537639" w:rsidRPr="00626E76" w:rsidRDefault="00365A85" w:rsidP="004E2134">
      <w:pPr>
        <w:pStyle w:val="NoSpacing"/>
      </w:pPr>
      <w:r w:rsidRPr="00365A85">
        <w:rPr>
          <w:bCs/>
          <w:iCs/>
        </w:rPr>
        <w:t xml:space="preserve">A healthy university has deeply engaged alumni who support the institution, work as ambassadors, protect and steward the brand, and serve as important volunteers. </w:t>
      </w:r>
      <w:r w:rsidR="00340976" w:rsidRPr="002915CA">
        <w:rPr>
          <w:b/>
          <w:noProof/>
        </w:rPr>
        <w:drawing>
          <wp:inline distT="0" distB="0" distL="0" distR="0" wp14:anchorId="5BDF6AD0" wp14:editId="25118A7A">
            <wp:extent cx="3573780" cy="1097280"/>
            <wp:effectExtent l="57150" t="0" r="6477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915CA" w:rsidRDefault="002915CA" w:rsidP="004E2134">
      <w:pPr>
        <w:pStyle w:val="NoSpacing"/>
        <w:rPr>
          <w:b/>
        </w:rPr>
      </w:pPr>
      <w:r>
        <w:rPr>
          <w:b/>
        </w:rPr>
        <w:t>How do we measure engagement?</w:t>
      </w:r>
    </w:p>
    <w:p w:rsidR="002915CA" w:rsidRDefault="00932CD0" w:rsidP="004E2134">
      <w:pPr>
        <w:pStyle w:val="NoSpacing"/>
      </w:pPr>
      <w:r w:rsidRPr="00932CD0">
        <w:t>Traditionally, alumni engagement has been measured by behaviors</w:t>
      </w:r>
      <w:r w:rsidR="00340976">
        <w:t xml:space="preserve"> (</w:t>
      </w:r>
      <w:r w:rsidRPr="00932CD0">
        <w:t>event attendance,</w:t>
      </w:r>
      <w:r w:rsidR="00340976">
        <w:t xml:space="preserve"> giving,</w:t>
      </w:r>
      <w:r w:rsidRPr="00932CD0">
        <w:t xml:space="preserve"> address updates</w:t>
      </w:r>
      <w:r w:rsidR="00340976">
        <w:t>, etc.</w:t>
      </w:r>
      <w:r w:rsidRPr="00932CD0">
        <w:t xml:space="preserve">). We believe it is equally important for us to consider and measure how alumni feel about their connection to the University. </w:t>
      </w:r>
    </w:p>
    <w:p w:rsidR="00214B6B" w:rsidRDefault="00364A9D" w:rsidP="004E2134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52608" wp14:editId="6B90A26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2735580" cy="1710055"/>
            <wp:effectExtent l="0" t="0" r="7620" b="4445"/>
            <wp:wrapTight wrapText="bothSides">
              <wp:wrapPolygon edited="0">
                <wp:start x="0" y="0"/>
                <wp:lineTo x="0" y="21416"/>
                <wp:lineTo x="21510" y="21416"/>
                <wp:lineTo x="215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A9D" w:rsidRDefault="00364A9D" w:rsidP="004E2134">
      <w:pPr>
        <w:pStyle w:val="NoSpacing"/>
      </w:pPr>
    </w:p>
    <w:p w:rsidR="00364A9D" w:rsidRDefault="00364A9D" w:rsidP="004E2134">
      <w:pPr>
        <w:pStyle w:val="NoSpacing"/>
      </w:pPr>
    </w:p>
    <w:p w:rsidR="00214B6B" w:rsidRPr="00932CD0" w:rsidRDefault="00DF215E" w:rsidP="004E2134">
      <w:pPr>
        <w:pStyle w:val="NoSpacing"/>
      </w:pPr>
      <w:r>
        <w:t>Positive experiences in either arena will</w:t>
      </w:r>
      <w:r w:rsidR="00143CD4">
        <w:t xml:space="preserve"> naturally and positively affect the other. Over time, this could have a cumulative impact on increased alumni engagement. </w:t>
      </w:r>
    </w:p>
    <w:p w:rsidR="002915CA" w:rsidRDefault="002915CA" w:rsidP="004E2134">
      <w:pPr>
        <w:pStyle w:val="NoSpacing"/>
        <w:rPr>
          <w:b/>
        </w:rPr>
      </w:pPr>
    </w:p>
    <w:p w:rsidR="00385C86" w:rsidRPr="00385C86" w:rsidRDefault="00381EF3" w:rsidP="00385C86">
      <w:pPr>
        <w:pStyle w:val="NoSpacing"/>
        <w:rPr>
          <w:b/>
        </w:rPr>
      </w:pPr>
      <w:r>
        <w:br w:type="page"/>
      </w:r>
      <w:r w:rsidR="00941275">
        <w:rPr>
          <w:b/>
        </w:rPr>
        <w:lastRenderedPageBreak/>
        <w:t>Alumni Engagement Research</w:t>
      </w:r>
    </w:p>
    <w:p w:rsidR="00370889" w:rsidRDefault="00626E76" w:rsidP="00385C86">
      <w:r>
        <w:t>T</w:t>
      </w:r>
      <w:r w:rsidR="00385C86" w:rsidRPr="00626E76">
        <w:t>he HAA conducted an alumni engagement survey</w:t>
      </w:r>
      <w:r w:rsidR="002F55C1">
        <w:t xml:space="preserve"> to a representative sample of our community</w:t>
      </w:r>
      <w:r w:rsidR="00385C86" w:rsidRPr="00626E76">
        <w:t xml:space="preserve"> in the summer of 2012, and the learnings from that survey have helped inform and guide our work </w:t>
      </w:r>
      <w:r w:rsidR="00941275">
        <w:t>across the staff and volunteer groups</w:t>
      </w:r>
      <w:r w:rsidR="00385C86" w:rsidRPr="00626E76">
        <w:t xml:space="preserve">. In November 2014, we </w:t>
      </w:r>
      <w:r w:rsidR="00941275">
        <w:t>undertook</w:t>
      </w:r>
      <w:r w:rsidR="00385C86" w:rsidRPr="00626E76">
        <w:t xml:space="preserve"> an updated or “pulse” survey. </w:t>
      </w:r>
    </w:p>
    <w:p w:rsidR="00370889" w:rsidRDefault="00370889" w:rsidP="00385C86"/>
    <w:p w:rsidR="00385C86" w:rsidRPr="00626E76" w:rsidRDefault="002D4678" w:rsidP="00385C86">
      <w:r>
        <w:t>Results are extensive</w:t>
      </w:r>
      <w:r w:rsidR="00C723BA">
        <w:t>,</w:t>
      </w:r>
      <w:r>
        <w:t xml:space="preserve"> and the data</w:t>
      </w:r>
      <w:r w:rsidR="00A43A20">
        <w:t xml:space="preserve"> </w:t>
      </w:r>
      <w:r w:rsidR="00370889">
        <w:t>has</w:t>
      </w:r>
      <w:r w:rsidR="00A43A20">
        <w:t xml:space="preserve"> helped inform </w:t>
      </w:r>
      <w:r w:rsidR="00370889">
        <w:t>Board initiative and committee charters</w:t>
      </w:r>
      <w:r w:rsidR="00C554E7">
        <w:t xml:space="preserve">. </w:t>
      </w:r>
      <w:r w:rsidR="00385C86" w:rsidRPr="00626E76">
        <w:t>You, as volunteer leaders, will again</w:t>
      </w:r>
      <w:r w:rsidR="007C5C3A">
        <w:t xml:space="preserve"> be essential in helping turn</w:t>
      </w:r>
      <w:r w:rsidR="00385C86" w:rsidRPr="00626E76">
        <w:t xml:space="preserve"> what we have learned from </w:t>
      </w:r>
      <w:r w:rsidR="00C723BA">
        <w:t>these new findings into action</w:t>
      </w:r>
      <w:r w:rsidR="00385C86" w:rsidRPr="00626E76">
        <w:t xml:space="preserve">. </w:t>
      </w:r>
    </w:p>
    <w:p w:rsidR="00626E76" w:rsidRDefault="00626E76" w:rsidP="00385C86">
      <w:pPr>
        <w:pStyle w:val="NoSpacing"/>
      </w:pPr>
    </w:p>
    <w:p w:rsidR="002F55C1" w:rsidRPr="00F134DB" w:rsidRDefault="000B289C" w:rsidP="004E2134">
      <w:pPr>
        <w:pStyle w:val="NoSpacing"/>
        <w:rPr>
          <w:b/>
        </w:rPr>
      </w:pPr>
      <w:r>
        <w:rPr>
          <w:b/>
        </w:rPr>
        <w:t>Overall: What have we learned</w:t>
      </w:r>
      <w:r w:rsidR="002F55C1" w:rsidRPr="00F134DB">
        <w:rPr>
          <w:b/>
        </w:rPr>
        <w:t xml:space="preserve"> about attitudes?</w:t>
      </w:r>
    </w:p>
    <w:p w:rsidR="00CD34A7" w:rsidRDefault="002F55C1" w:rsidP="00CD34A7">
      <w:pPr>
        <w:pStyle w:val="NoSpacing"/>
      </w:pPr>
      <w:r>
        <w:t>We used four questions to determine alumni attitudes.</w:t>
      </w:r>
      <w:r w:rsidR="00C45759">
        <w:t xml:space="preserve"> Each</w:t>
      </w:r>
      <w:r w:rsidR="00BC74F0">
        <w:t xml:space="preserve"> question ranged from 1-6, negative to</w:t>
      </w:r>
      <w:r w:rsidR="00C45759">
        <w:t xml:space="preserve"> positive. </w:t>
      </w:r>
      <w:r>
        <w:t xml:space="preserve">The answers to those questions formed an index </w:t>
      </w:r>
      <w:r w:rsidR="00F134DB">
        <w:t xml:space="preserve">we call the Alumni Engagement Index or AEI. </w:t>
      </w:r>
      <w:r w:rsidR="00CD34A7">
        <w:t>The questions:</w:t>
      </w:r>
    </w:p>
    <w:p w:rsidR="00CD34A7" w:rsidRPr="004E2134" w:rsidRDefault="00CD34A7" w:rsidP="00CD34A7">
      <w:pPr>
        <w:pStyle w:val="NoSpacing"/>
        <w:numPr>
          <w:ilvl w:val="0"/>
          <w:numId w:val="8"/>
        </w:numPr>
      </w:pPr>
      <w:r w:rsidRPr="004E2134">
        <w:t xml:space="preserve">How would you describe your feelings toward Harvard as a whole? </w:t>
      </w:r>
    </w:p>
    <w:p w:rsidR="00CD34A7" w:rsidRPr="004E2134" w:rsidRDefault="00CD34A7" w:rsidP="00CD34A7">
      <w:pPr>
        <w:pStyle w:val="NoSpacing"/>
        <w:numPr>
          <w:ilvl w:val="0"/>
          <w:numId w:val="8"/>
        </w:numPr>
      </w:pPr>
      <w:r w:rsidRPr="004E2134">
        <w:t xml:space="preserve">How connected do you feel to Harvard as a whole? </w:t>
      </w:r>
    </w:p>
    <w:p w:rsidR="00CD34A7" w:rsidRPr="004E2134" w:rsidRDefault="00CD34A7" w:rsidP="00CD34A7">
      <w:pPr>
        <w:pStyle w:val="NoSpacing"/>
        <w:numPr>
          <w:ilvl w:val="0"/>
          <w:numId w:val="8"/>
        </w:numPr>
      </w:pPr>
      <w:r w:rsidRPr="004E2134">
        <w:t>H</w:t>
      </w:r>
      <w:r>
        <w:t xml:space="preserve">ow satisfied are you with your experience with Harvard as an </w:t>
      </w:r>
      <w:r w:rsidRPr="004E2134">
        <w:t xml:space="preserve">alumnus/na? </w:t>
      </w:r>
    </w:p>
    <w:p w:rsidR="00CD34A7" w:rsidRPr="004E2134" w:rsidRDefault="00CD34A7" w:rsidP="00CD34A7">
      <w:pPr>
        <w:pStyle w:val="NoSpacing"/>
        <w:numPr>
          <w:ilvl w:val="0"/>
          <w:numId w:val="8"/>
        </w:numPr>
      </w:pPr>
      <w:r>
        <w:t xml:space="preserve">To what extent do you agree or </w:t>
      </w:r>
      <w:r w:rsidRPr="004E2134">
        <w:t>disagr</w:t>
      </w:r>
      <w:r>
        <w:t xml:space="preserve">ee: I feel part of the Harvard </w:t>
      </w:r>
      <w:r w:rsidRPr="004E2134">
        <w:t xml:space="preserve">alumni community? </w:t>
      </w:r>
    </w:p>
    <w:p w:rsidR="00F134DB" w:rsidRDefault="00F134DB" w:rsidP="004E2134">
      <w:pPr>
        <w:pStyle w:val="NoSpacing"/>
      </w:pPr>
    </w:p>
    <w:p w:rsidR="00CD34A7" w:rsidRDefault="00CD34A7" w:rsidP="004E2134">
      <w:pPr>
        <w:pStyle w:val="NoSpacing"/>
      </w:pPr>
      <w:r>
        <w:t>The Alumni Engagement Index</w:t>
      </w:r>
      <w:r w:rsidR="001D25D9">
        <w:t xml:space="preserve"> (</w:t>
      </w:r>
      <w:r>
        <w:t>AEI</w:t>
      </w:r>
      <w:r w:rsidR="001D25D9">
        <w:t>)</w:t>
      </w:r>
      <w:r>
        <w:t xml:space="preserve"> </w:t>
      </w:r>
    </w:p>
    <w:p w:rsidR="00FF1A6F" w:rsidRDefault="00FF1A6F" w:rsidP="00B91EE7">
      <w:pPr>
        <w:pStyle w:val="NoSpacing"/>
      </w:pPr>
    </w:p>
    <w:p w:rsidR="00B91EE7" w:rsidRDefault="00CA6FCE" w:rsidP="00B91EE7">
      <w:pPr>
        <w:pStyle w:val="NoSpacing"/>
      </w:pPr>
      <w:r w:rsidRPr="00CA6FC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3985260" cy="2964180"/>
            <wp:effectExtent l="0" t="0" r="0" b="7620"/>
            <wp:wrapTight wrapText="bothSides">
              <wp:wrapPolygon edited="0">
                <wp:start x="0" y="0"/>
                <wp:lineTo x="0" y="21517"/>
                <wp:lineTo x="21476" y="21517"/>
                <wp:lineTo x="21476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380" w:type="dxa"/>
        <w:tblInd w:w="93" w:type="dxa"/>
        <w:tblLook w:val="04A0" w:firstRow="1" w:lastRow="0" w:firstColumn="1" w:lastColumn="0" w:noHBand="0" w:noVBand="1"/>
      </w:tblPr>
      <w:tblGrid>
        <w:gridCol w:w="1460"/>
        <w:gridCol w:w="960"/>
        <w:gridCol w:w="960"/>
      </w:tblGrid>
      <w:tr w:rsidR="00B91EE7" w:rsidRPr="00B91EE7" w:rsidTr="00B91EE7">
        <w:trPr>
          <w:trHeight w:val="40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EE7" w:rsidRPr="00FF1A6F" w:rsidRDefault="00B91EE7" w:rsidP="00B91EE7">
            <w:pPr>
              <w:rPr>
                <w:rFonts w:asciiTheme="minorHAnsi" w:hAnsiTheme="minorHAnsi"/>
              </w:rPr>
            </w:pPr>
          </w:p>
          <w:p w:rsidR="00FF1A6F" w:rsidRPr="00B91EE7" w:rsidRDefault="00FF1A6F" w:rsidP="00B91EE7">
            <w:pPr>
              <w:rPr>
                <w:rFonts w:asciiTheme="minorHAnsi" w:hAnsiTheme="minorHAn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2014 results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2012 results</w:t>
            </w:r>
          </w:p>
        </w:tc>
      </w:tr>
      <w:tr w:rsidR="00B91EE7" w:rsidRPr="00B91EE7" w:rsidTr="00B91EE7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High engagement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41%</w:t>
            </w:r>
          </w:p>
        </w:tc>
      </w:tr>
      <w:tr w:rsidR="00B91EE7" w:rsidRPr="00B91EE7" w:rsidTr="00B91EE7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Mid engagement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39%</w:t>
            </w:r>
          </w:p>
        </w:tc>
      </w:tr>
      <w:tr w:rsidR="00B91EE7" w:rsidRPr="00B91EE7" w:rsidTr="00B91EE7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Low engagement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EE7" w:rsidRPr="00B91EE7" w:rsidRDefault="00B91EE7" w:rsidP="00B91EE7">
            <w:pPr>
              <w:jc w:val="center"/>
              <w:rPr>
                <w:rFonts w:asciiTheme="minorHAnsi" w:hAnsiTheme="minorHAnsi"/>
              </w:rPr>
            </w:pPr>
            <w:r w:rsidRPr="00B91EE7">
              <w:rPr>
                <w:rFonts w:asciiTheme="minorHAnsi" w:hAnsiTheme="minorHAnsi"/>
              </w:rPr>
              <w:t>20%</w:t>
            </w:r>
          </w:p>
        </w:tc>
      </w:tr>
    </w:tbl>
    <w:p w:rsidR="00CD34A7" w:rsidRPr="00FF1A6F" w:rsidRDefault="00CD34A7" w:rsidP="00B91EE7">
      <w:pPr>
        <w:pStyle w:val="NoSpacing"/>
      </w:pPr>
    </w:p>
    <w:p w:rsidR="00FF1A6F" w:rsidRDefault="00FF1A6F" w:rsidP="004E2134">
      <w:pPr>
        <w:pStyle w:val="NoSpacing"/>
      </w:pPr>
    </w:p>
    <w:p w:rsidR="00FF1A6F" w:rsidRDefault="00FF1A6F" w:rsidP="004E2134">
      <w:pPr>
        <w:pStyle w:val="NoSpacing"/>
      </w:pPr>
    </w:p>
    <w:p w:rsidR="00FF1A6F" w:rsidRDefault="00FF1A6F" w:rsidP="004E2134">
      <w:pPr>
        <w:pStyle w:val="NoSpacing"/>
      </w:pPr>
    </w:p>
    <w:p w:rsidR="00FF1A6F" w:rsidRDefault="00FF1A6F" w:rsidP="004E2134">
      <w:pPr>
        <w:pStyle w:val="NoSpacing"/>
      </w:pPr>
    </w:p>
    <w:p w:rsidR="00FF1A6F" w:rsidRDefault="00FF1A6F" w:rsidP="004E2134">
      <w:pPr>
        <w:pStyle w:val="NoSpacing"/>
      </w:pPr>
    </w:p>
    <w:p w:rsidR="00FF1A6F" w:rsidRDefault="00FF1A6F" w:rsidP="004E2134">
      <w:pPr>
        <w:pStyle w:val="NoSpacing"/>
      </w:pPr>
    </w:p>
    <w:p w:rsidR="00FF1A6F" w:rsidRDefault="00FF1A6F" w:rsidP="004E2134">
      <w:pPr>
        <w:pStyle w:val="NoSpacing"/>
      </w:pPr>
    </w:p>
    <w:p w:rsidR="00FF1A6F" w:rsidRDefault="00FF1A6F" w:rsidP="004E2134">
      <w:pPr>
        <w:pStyle w:val="NoSpacing"/>
      </w:pPr>
    </w:p>
    <w:p w:rsidR="00F134DB" w:rsidRDefault="00F134DB" w:rsidP="004E2134">
      <w:pPr>
        <w:pStyle w:val="NoSpacing"/>
      </w:pPr>
      <w:r>
        <w:t>The good news:</w:t>
      </w:r>
    </w:p>
    <w:p w:rsidR="00BB2A6C" w:rsidRDefault="00BB2A6C" w:rsidP="00BB2A6C">
      <w:pPr>
        <w:pStyle w:val="NoSpacing"/>
        <w:numPr>
          <w:ilvl w:val="0"/>
          <w:numId w:val="10"/>
        </w:numPr>
      </w:pPr>
      <w:r>
        <w:t>Roughly twice as many alumni are considered highly engaged as low</w:t>
      </w:r>
    </w:p>
    <w:p w:rsidR="00A01F73" w:rsidRDefault="00BB2A6C" w:rsidP="00D70B06">
      <w:pPr>
        <w:pStyle w:val="NoSpacing"/>
        <w:numPr>
          <w:ilvl w:val="0"/>
          <w:numId w:val="10"/>
        </w:numPr>
      </w:pPr>
      <w:r>
        <w:t>O</w:t>
      </w:r>
      <w:r w:rsidR="00A01F73">
        <w:t>ur sense of community</w:t>
      </w:r>
      <w:r w:rsidR="00201681">
        <w:t xml:space="preserve"> (question 4)</w:t>
      </w:r>
      <w:r>
        <w:t xml:space="preserve"> has increased</w:t>
      </w:r>
    </w:p>
    <w:p w:rsidR="00D70B06" w:rsidRDefault="00D70B06" w:rsidP="00D70B06">
      <w:pPr>
        <w:pStyle w:val="NoSpacing"/>
        <w:numPr>
          <w:ilvl w:val="0"/>
          <w:numId w:val="10"/>
        </w:numPr>
      </w:pPr>
      <w:r w:rsidRPr="00D70B06">
        <w:t>Harvard Club membership is a good predictor of high engagement</w:t>
      </w:r>
    </w:p>
    <w:p w:rsidR="002B5F9E" w:rsidRDefault="002B5F9E" w:rsidP="00D70B06">
      <w:pPr>
        <w:pStyle w:val="NoSpacing"/>
        <w:numPr>
          <w:ilvl w:val="0"/>
          <w:numId w:val="10"/>
        </w:numPr>
      </w:pPr>
      <w:r w:rsidRPr="002B5F9E">
        <w:t xml:space="preserve">Alumni </w:t>
      </w:r>
      <w:r w:rsidR="00812780">
        <w:t xml:space="preserve">have an increasing sense </w:t>
      </w:r>
      <w:r w:rsidRPr="002B5F9E">
        <w:t>that Harvard provides them ongoing learning opportunities</w:t>
      </w:r>
    </w:p>
    <w:p w:rsidR="00F134DB" w:rsidRDefault="00F134DB" w:rsidP="004E2134">
      <w:pPr>
        <w:pStyle w:val="NoSpacing"/>
      </w:pPr>
      <w:r>
        <w:br/>
        <w:t>The opportunities:</w:t>
      </w:r>
    </w:p>
    <w:p w:rsidR="00224CAB" w:rsidRDefault="00D70B06" w:rsidP="004E2134">
      <w:pPr>
        <w:pStyle w:val="NoSpacing"/>
        <w:numPr>
          <w:ilvl w:val="0"/>
          <w:numId w:val="11"/>
        </w:numPr>
      </w:pPr>
      <w:r>
        <w:t>Men are, on the whole, more likely to be highly engaged than women</w:t>
      </w:r>
    </w:p>
    <w:p w:rsidR="00D70B06" w:rsidRDefault="00224CAB" w:rsidP="004E2134">
      <w:pPr>
        <w:pStyle w:val="NoSpacing"/>
        <w:numPr>
          <w:ilvl w:val="0"/>
          <w:numId w:val="11"/>
        </w:numPr>
      </w:pPr>
      <w:r>
        <w:t>Findings underscore the</w:t>
      </w:r>
      <w:r w:rsidRPr="00224CAB">
        <w:t xml:space="preserve"> importance of establishing strong relationships with alumni early on</w:t>
      </w:r>
    </w:p>
    <w:p w:rsidR="00224CAB" w:rsidRDefault="002B5F9E" w:rsidP="004E2134">
      <w:pPr>
        <w:pStyle w:val="NoSpacing"/>
        <w:numPr>
          <w:ilvl w:val="0"/>
          <w:numId w:val="11"/>
        </w:numPr>
      </w:pPr>
      <w:r>
        <w:t xml:space="preserve">Increased segmentation and reliance on </w:t>
      </w:r>
      <w:r w:rsidR="0035065A">
        <w:t>alumni ambassadors could yield increased AEI results</w:t>
      </w:r>
    </w:p>
    <w:p w:rsidR="000B289C" w:rsidRPr="00FF1A6F" w:rsidRDefault="0035065A" w:rsidP="00FF1A6F">
      <w:pPr>
        <w:spacing w:after="200" w:line="276" w:lineRule="auto"/>
        <w:rPr>
          <w:rFonts w:asciiTheme="minorHAnsi" w:eastAsiaTheme="minorHAnsi" w:hAnsiTheme="minorHAnsi" w:cstheme="minorBidi"/>
        </w:rPr>
      </w:pPr>
      <w:r>
        <w:br w:type="page"/>
      </w:r>
      <w:r w:rsidR="000B289C">
        <w:rPr>
          <w:b/>
        </w:rPr>
        <w:lastRenderedPageBreak/>
        <w:t>Overall: What have we learned</w:t>
      </w:r>
      <w:r w:rsidR="000B289C" w:rsidRPr="00F134DB">
        <w:rPr>
          <w:b/>
        </w:rPr>
        <w:t xml:space="preserve"> about </w:t>
      </w:r>
      <w:r w:rsidR="000B289C">
        <w:rPr>
          <w:b/>
        </w:rPr>
        <w:t>behaviors</w:t>
      </w:r>
      <w:r w:rsidR="000B289C" w:rsidRPr="00F134DB">
        <w:rPr>
          <w:b/>
        </w:rPr>
        <w:t>?</w:t>
      </w:r>
    </w:p>
    <w:p w:rsidR="00CA6FCE" w:rsidRDefault="00201681" w:rsidP="00CA6FCE">
      <w:pPr>
        <w:pStyle w:val="NoSpacing"/>
      </w:pPr>
      <w:r>
        <w:t>The HAA buckets b</w:t>
      </w:r>
      <w:r w:rsidR="00CA6FCE" w:rsidRPr="00CA6FCE">
        <w:t>ehaviors</w:t>
      </w:r>
      <w:r>
        <w:t xml:space="preserve"> into three main areas</w:t>
      </w:r>
      <w:r w:rsidR="00CA6FCE" w:rsidRPr="00CA6FCE">
        <w:t>:</w:t>
      </w:r>
    </w:p>
    <w:p w:rsidR="00D11B3F" w:rsidRPr="00CA6FCE" w:rsidRDefault="00D11B3F" w:rsidP="00CA6FCE">
      <w:pPr>
        <w:pStyle w:val="NoSpacing"/>
      </w:pPr>
    </w:p>
    <w:p w:rsidR="004E2134" w:rsidRDefault="00D11B3F" w:rsidP="004E2134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E49C11" wp14:editId="1A44225A">
            <wp:simplePos x="0" y="0"/>
            <wp:positionH relativeFrom="column">
              <wp:posOffset>99060</wp:posOffset>
            </wp:positionH>
            <wp:positionV relativeFrom="paragraph">
              <wp:posOffset>-1270</wp:posOffset>
            </wp:positionV>
            <wp:extent cx="2727960" cy="3171190"/>
            <wp:effectExtent l="0" t="0" r="0" b="0"/>
            <wp:wrapTight wrapText="bothSides">
              <wp:wrapPolygon edited="0">
                <wp:start x="0" y="0"/>
                <wp:lineTo x="0" y="21410"/>
                <wp:lineTo x="21419" y="21410"/>
                <wp:lineTo x="2141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B3F" w:rsidRDefault="00D11B3F" w:rsidP="00D11B3F">
      <w:pPr>
        <w:pStyle w:val="NoSpacing"/>
        <w:numPr>
          <w:ilvl w:val="0"/>
          <w:numId w:val="12"/>
        </w:numPr>
        <w:ind w:left="5400" w:hanging="5040"/>
      </w:pPr>
      <w:r>
        <w:t>Communicate examples: contact information updates, reading Harvard Magazine, online community participation, etc.</w:t>
      </w:r>
    </w:p>
    <w:p w:rsidR="00D11B3F" w:rsidRDefault="00D11B3F" w:rsidP="00D11B3F">
      <w:pPr>
        <w:pStyle w:val="NoSpacing"/>
        <w:ind w:left="5400" w:hanging="5040"/>
      </w:pPr>
    </w:p>
    <w:p w:rsidR="00D11B3F" w:rsidRDefault="006866DA" w:rsidP="00D11B3F">
      <w:pPr>
        <w:pStyle w:val="NoSpacing"/>
        <w:numPr>
          <w:ilvl w:val="0"/>
          <w:numId w:val="12"/>
        </w:numPr>
        <w:ind w:left="5400" w:hanging="5040"/>
      </w:pPr>
      <w:r>
        <w:t xml:space="preserve">Participate </w:t>
      </w:r>
      <w:r w:rsidR="00D11B3F">
        <w:t>examples: local events, Club or SIG membership, reunions, giving, virtual events, etc.</w:t>
      </w:r>
    </w:p>
    <w:p w:rsidR="00D11B3F" w:rsidRDefault="00D11B3F" w:rsidP="00D11B3F">
      <w:pPr>
        <w:pStyle w:val="NoSpacing"/>
        <w:ind w:left="5400" w:hanging="5040"/>
      </w:pPr>
    </w:p>
    <w:p w:rsidR="00201681" w:rsidRDefault="00D11B3F" w:rsidP="00D11B3F">
      <w:pPr>
        <w:pStyle w:val="NoSpacing"/>
        <w:numPr>
          <w:ilvl w:val="0"/>
          <w:numId w:val="12"/>
        </w:numPr>
        <w:ind w:left="5400" w:hanging="5040"/>
      </w:pPr>
      <w:r>
        <w:t>Volunteer examples: Board service, Schools and Scholarships, Club or SIG leadership, School council leadership, Reunion committ</w:t>
      </w:r>
      <w:r w:rsidR="000B289C">
        <w:t>e</w:t>
      </w:r>
      <w:r>
        <w:t>e, etc.</w:t>
      </w:r>
    </w:p>
    <w:p w:rsidR="00201681" w:rsidRPr="004E2134" w:rsidRDefault="00201681" w:rsidP="00D11B3F">
      <w:pPr>
        <w:pStyle w:val="NoSpacing"/>
        <w:ind w:left="5400" w:hanging="5040"/>
      </w:pPr>
    </w:p>
    <w:p w:rsidR="00D11B3F" w:rsidRDefault="00D11B3F" w:rsidP="004E2134">
      <w:pPr>
        <w:pStyle w:val="NoSpacing"/>
      </w:pPr>
    </w:p>
    <w:p w:rsidR="00D11B3F" w:rsidRDefault="00D11B3F" w:rsidP="004E2134">
      <w:pPr>
        <w:pStyle w:val="NoSpacing"/>
      </w:pPr>
    </w:p>
    <w:p w:rsidR="00D11B3F" w:rsidRDefault="00D11B3F" w:rsidP="004E2134">
      <w:pPr>
        <w:pStyle w:val="NoSpacing"/>
      </w:pPr>
    </w:p>
    <w:p w:rsidR="00D11B3F" w:rsidRDefault="00D11B3F" w:rsidP="004E2134">
      <w:pPr>
        <w:pStyle w:val="NoSpacing"/>
      </w:pPr>
    </w:p>
    <w:p w:rsidR="00D11B3F" w:rsidRDefault="00D11B3F" w:rsidP="004E2134">
      <w:pPr>
        <w:pStyle w:val="NoSpacing"/>
      </w:pPr>
    </w:p>
    <w:p w:rsidR="00D11B3F" w:rsidRDefault="00D11B3F" w:rsidP="004E2134">
      <w:pPr>
        <w:pStyle w:val="NoSpacing"/>
      </w:pPr>
    </w:p>
    <w:p w:rsidR="00D11B3F" w:rsidRDefault="00D11B3F" w:rsidP="004E2134">
      <w:pPr>
        <w:pStyle w:val="NoSpacing"/>
      </w:pPr>
    </w:p>
    <w:p w:rsidR="004E2134" w:rsidRPr="009B5AD8" w:rsidRDefault="006866DA" w:rsidP="004E2134">
      <w:pPr>
        <w:pStyle w:val="NoSpacing"/>
      </w:pPr>
      <w:r w:rsidRPr="009B5AD8">
        <w:t>In looking at the data and analysis from our engagement research, we determined “</w:t>
      </w:r>
      <w:r w:rsidR="004E2134" w:rsidRPr="009B5AD8">
        <w:t>Five Areas of Focus</w:t>
      </w:r>
      <w:r w:rsidRPr="009B5AD8">
        <w:t xml:space="preserve">” to help drive increased engagement in these </w:t>
      </w:r>
      <w:r w:rsidR="00E5115C" w:rsidRPr="009B5AD8">
        <w:t>behaviors</w:t>
      </w:r>
      <w:r w:rsidRPr="009B5AD8">
        <w:t xml:space="preserve">. </w:t>
      </w:r>
      <w:r w:rsidR="00E5115C">
        <w:t xml:space="preserve">These are the most important levers in driving engagement. </w:t>
      </w:r>
      <w:r w:rsidRPr="009B5AD8">
        <w:t xml:space="preserve">They are: </w:t>
      </w:r>
    </w:p>
    <w:p w:rsidR="004E2134" w:rsidRPr="009B5AD8" w:rsidRDefault="004E2134" w:rsidP="004E2134">
      <w:pPr>
        <w:pStyle w:val="NoSpacing"/>
      </w:pPr>
    </w:p>
    <w:p w:rsidR="009B5AD8" w:rsidRPr="009B5AD8" w:rsidRDefault="009B5AD8" w:rsidP="009B5AD8">
      <w:pPr>
        <w:pStyle w:val="NoSpacing"/>
        <w:numPr>
          <w:ilvl w:val="0"/>
          <w:numId w:val="13"/>
        </w:numPr>
        <w:spacing w:line="360" w:lineRule="auto"/>
      </w:pPr>
      <w:r w:rsidRPr="009B5AD8">
        <w:rPr>
          <w:b/>
          <w:bCs/>
        </w:rPr>
        <w:t>Intellectual Content</w:t>
      </w:r>
    </w:p>
    <w:p w:rsidR="009B5AD8" w:rsidRPr="009B5AD8" w:rsidRDefault="009B5AD8" w:rsidP="009B5AD8">
      <w:pPr>
        <w:pStyle w:val="NoSpacing"/>
        <w:numPr>
          <w:ilvl w:val="1"/>
          <w:numId w:val="13"/>
        </w:numPr>
        <w:spacing w:line="360" w:lineRule="auto"/>
      </w:pPr>
      <w:r w:rsidRPr="009B5AD8">
        <w:t>Increase the ability to engage with and share the intellectual riches of the University.</w:t>
      </w:r>
    </w:p>
    <w:p w:rsidR="009B5AD8" w:rsidRPr="009B5AD8" w:rsidRDefault="009B5AD8" w:rsidP="009B5AD8">
      <w:pPr>
        <w:pStyle w:val="NoSpacing"/>
        <w:numPr>
          <w:ilvl w:val="0"/>
          <w:numId w:val="13"/>
        </w:numPr>
        <w:spacing w:line="360" w:lineRule="auto"/>
      </w:pPr>
      <w:r w:rsidRPr="009B5AD8">
        <w:rPr>
          <w:b/>
          <w:bCs/>
        </w:rPr>
        <w:t>Campus and Student Connections</w:t>
      </w:r>
    </w:p>
    <w:p w:rsidR="009B5AD8" w:rsidRPr="009B5AD8" w:rsidRDefault="009B5AD8" w:rsidP="009B5AD8">
      <w:pPr>
        <w:pStyle w:val="NoSpacing"/>
        <w:numPr>
          <w:ilvl w:val="1"/>
          <w:numId w:val="13"/>
        </w:numPr>
        <w:spacing w:line="360" w:lineRule="auto"/>
      </w:pPr>
      <w:r w:rsidRPr="009B5AD8">
        <w:t>Connect alumni/ae to students and campus life today.</w:t>
      </w:r>
    </w:p>
    <w:p w:rsidR="009B5AD8" w:rsidRPr="009B5AD8" w:rsidRDefault="009B5AD8" w:rsidP="009B5AD8">
      <w:pPr>
        <w:pStyle w:val="NoSpacing"/>
        <w:numPr>
          <w:ilvl w:val="0"/>
          <w:numId w:val="13"/>
        </w:numPr>
        <w:spacing w:line="360" w:lineRule="auto"/>
      </w:pPr>
      <w:r w:rsidRPr="009B5AD8">
        <w:rPr>
          <w:b/>
          <w:bCs/>
        </w:rPr>
        <w:t>Alumni as Insiders</w:t>
      </w:r>
    </w:p>
    <w:p w:rsidR="009B5AD8" w:rsidRPr="009B5AD8" w:rsidRDefault="009B5AD8" w:rsidP="009B5AD8">
      <w:pPr>
        <w:pStyle w:val="NoSpacing"/>
        <w:numPr>
          <w:ilvl w:val="1"/>
          <w:numId w:val="13"/>
        </w:numPr>
        <w:spacing w:line="360" w:lineRule="auto"/>
      </w:pPr>
      <w:r w:rsidRPr="009B5AD8">
        <w:t>Build awareness and access to news about Harvard today and tomorrow.</w:t>
      </w:r>
    </w:p>
    <w:p w:rsidR="009B5AD8" w:rsidRPr="009B5AD8" w:rsidRDefault="009B5AD8" w:rsidP="009B5AD8">
      <w:pPr>
        <w:pStyle w:val="NoSpacing"/>
        <w:numPr>
          <w:ilvl w:val="0"/>
          <w:numId w:val="13"/>
        </w:numPr>
        <w:spacing w:line="360" w:lineRule="auto"/>
      </w:pPr>
      <w:r w:rsidRPr="009B5AD8">
        <w:rPr>
          <w:b/>
          <w:bCs/>
        </w:rPr>
        <w:t>Active Citizenship</w:t>
      </w:r>
    </w:p>
    <w:p w:rsidR="009B5AD8" w:rsidRPr="009B5AD8" w:rsidRDefault="009B5AD8" w:rsidP="009B5AD8">
      <w:pPr>
        <w:pStyle w:val="NoSpacing"/>
        <w:numPr>
          <w:ilvl w:val="1"/>
          <w:numId w:val="13"/>
        </w:numPr>
        <w:spacing w:line="360" w:lineRule="auto"/>
      </w:pPr>
      <w:r w:rsidRPr="009B5AD8">
        <w:t>Increase participation in volunteerism and philanthropy.</w:t>
      </w:r>
    </w:p>
    <w:p w:rsidR="009B5AD8" w:rsidRPr="009B5AD8" w:rsidRDefault="009B5AD8" w:rsidP="009B5AD8">
      <w:pPr>
        <w:pStyle w:val="NoSpacing"/>
        <w:numPr>
          <w:ilvl w:val="0"/>
          <w:numId w:val="13"/>
        </w:numPr>
        <w:spacing w:line="360" w:lineRule="auto"/>
      </w:pPr>
      <w:r w:rsidRPr="009B5AD8">
        <w:rPr>
          <w:b/>
          <w:bCs/>
        </w:rPr>
        <w:t xml:space="preserve">Alumni Communities </w:t>
      </w:r>
    </w:p>
    <w:p w:rsidR="009B5AD8" w:rsidRPr="009B5AD8" w:rsidRDefault="009B5AD8" w:rsidP="009B5AD8">
      <w:pPr>
        <w:pStyle w:val="NoSpacing"/>
        <w:numPr>
          <w:ilvl w:val="1"/>
          <w:numId w:val="13"/>
        </w:numPr>
        <w:spacing w:line="360" w:lineRule="auto"/>
      </w:pPr>
      <w:r w:rsidRPr="009B5AD8">
        <w:t xml:space="preserve">Strengthen and create personal, professional, and intellectual bonds within the alumni community. </w:t>
      </w:r>
    </w:p>
    <w:p w:rsidR="009B5AD8" w:rsidRPr="009B5AD8" w:rsidRDefault="009B5AD8" w:rsidP="009B5AD8">
      <w:pPr>
        <w:pStyle w:val="NoSpacing"/>
      </w:pPr>
      <w:r w:rsidRPr="009B5AD8">
        <w:t xml:space="preserve">Our strategic efforts </w:t>
      </w:r>
      <w:r>
        <w:t xml:space="preserve">in these areas of focus </w:t>
      </w:r>
      <w:r w:rsidRPr="009B5AD8">
        <w:t>should span and encourage all three alumni behaviors: communicate, participate, and volunteer.</w:t>
      </w:r>
    </w:p>
    <w:p w:rsidR="009B5AD8" w:rsidRPr="009B5AD8" w:rsidRDefault="009B5AD8" w:rsidP="009B5AD8">
      <w:pPr>
        <w:pStyle w:val="NoSpacing"/>
        <w:spacing w:line="360" w:lineRule="auto"/>
      </w:pPr>
    </w:p>
    <w:p w:rsidR="00A40B2C" w:rsidRDefault="00A40B2C">
      <w:pPr>
        <w:spacing w:after="200" w:line="276" w:lineRule="auto"/>
        <w:rPr>
          <w:rFonts w:asciiTheme="minorHAnsi" w:eastAsiaTheme="minorHAnsi" w:hAnsiTheme="minorHAnsi" w:cstheme="minorBidi"/>
        </w:rPr>
      </w:pPr>
      <w:r>
        <w:br w:type="page"/>
      </w:r>
    </w:p>
    <w:p w:rsidR="00A40B2C" w:rsidRDefault="00A40B2C" w:rsidP="00A40B2C">
      <w:pPr>
        <w:pStyle w:val="NoSpacing"/>
        <w:sectPr w:rsidR="00A40B2C" w:rsidSect="00B27965">
          <w:footerReference w:type="default" r:id="rId18"/>
          <w:pgSz w:w="12240" w:h="15840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:rsidR="00A40B2C" w:rsidRDefault="00FA293A" w:rsidP="00852A2E">
      <w:pPr>
        <w:pStyle w:val="NoSpacing"/>
        <w:pBdr>
          <w:bottom w:val="single" w:sz="4" w:space="1" w:color="auto"/>
        </w:pBdr>
      </w:pPr>
      <w:r>
        <w:lastRenderedPageBreak/>
        <w:t>Initiatives</w:t>
      </w:r>
      <w:r w:rsidR="00372979">
        <w:t xml:space="preserve"> 2015-2016</w:t>
      </w:r>
    </w:p>
    <w:p w:rsidR="00A40B2C" w:rsidRDefault="00A40B2C" w:rsidP="00A40B2C">
      <w:pPr>
        <w:pStyle w:val="NoSpacing"/>
      </w:pPr>
      <w:r>
        <w:t>Careers and Networking: Alumni to Alumni Networking</w:t>
      </w:r>
    </w:p>
    <w:p w:rsidR="00A40B2C" w:rsidRDefault="00A40B2C" w:rsidP="00A40B2C">
      <w:pPr>
        <w:pStyle w:val="NoSpacing"/>
      </w:pPr>
      <w:r>
        <w:t>Hannah Cardiel AB ’13, Leader</w:t>
      </w:r>
    </w:p>
    <w:p w:rsidR="00A40B2C" w:rsidRDefault="00A40B2C" w:rsidP="00A40B2C">
      <w:pPr>
        <w:pStyle w:val="NoSpacing"/>
      </w:pPr>
      <w:r>
        <w:t>Matthew Temple AB ’86, Leader</w:t>
      </w:r>
    </w:p>
    <w:p w:rsidR="00A40B2C" w:rsidRDefault="00A40B2C" w:rsidP="00A40B2C">
      <w:pPr>
        <w:pStyle w:val="NoSpacing"/>
      </w:pPr>
      <w:r>
        <w:t>Anne Cushing,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Intellectual Content: Digital and Blended Learning</w:t>
      </w:r>
    </w:p>
    <w:p w:rsidR="00A40B2C" w:rsidRDefault="00A40B2C" w:rsidP="00A40B2C">
      <w:pPr>
        <w:pStyle w:val="NoSpacing"/>
      </w:pPr>
      <w:r>
        <w:t>Ann Koufman-Frederick AB ’78, Leader</w:t>
      </w:r>
    </w:p>
    <w:p w:rsidR="00A40B2C" w:rsidRDefault="00A40B2C" w:rsidP="00A40B2C">
      <w:pPr>
        <w:pStyle w:val="NoSpacing"/>
      </w:pPr>
      <w:r>
        <w:t>Bryan Richards EdM ’97, Leader</w:t>
      </w:r>
    </w:p>
    <w:p w:rsidR="00A40B2C" w:rsidRDefault="00A40B2C" w:rsidP="00A40B2C">
      <w:pPr>
        <w:pStyle w:val="NoSpacing"/>
      </w:pPr>
      <w:r>
        <w:t>Clint Ficula EdM ’11,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Public Service</w:t>
      </w:r>
    </w:p>
    <w:p w:rsidR="00A40B2C" w:rsidRDefault="00A40B2C" w:rsidP="00A40B2C">
      <w:pPr>
        <w:pStyle w:val="NoSpacing"/>
      </w:pPr>
      <w:r>
        <w:t>Raphael Bostic AB ’87, Leader</w:t>
      </w:r>
    </w:p>
    <w:p w:rsidR="00A40B2C" w:rsidRDefault="00A40B2C" w:rsidP="00A40B2C">
      <w:pPr>
        <w:pStyle w:val="NoSpacing"/>
      </w:pPr>
      <w:r>
        <w:t>Julie Palmer AB ’84, Leader</w:t>
      </w:r>
    </w:p>
    <w:p w:rsidR="00A40B2C" w:rsidRDefault="00A40B2C" w:rsidP="00A40B2C">
      <w:pPr>
        <w:pStyle w:val="NoSpacing"/>
      </w:pPr>
      <w:r>
        <w:t>Joslyn Evans CPC ’11,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Student and Recent Graduate Engagement</w:t>
      </w:r>
    </w:p>
    <w:p w:rsidR="00A40B2C" w:rsidRDefault="00A40B2C" w:rsidP="00A40B2C">
      <w:pPr>
        <w:pStyle w:val="NoSpacing"/>
      </w:pPr>
      <w:r>
        <w:t>Raine Figueroa AB ’84, MBA ’91, Leader</w:t>
      </w:r>
    </w:p>
    <w:p w:rsidR="00A40B2C" w:rsidRDefault="00A40B2C" w:rsidP="00A40B2C">
      <w:pPr>
        <w:pStyle w:val="NoSpacing"/>
      </w:pPr>
      <w:r w:rsidRPr="00372979">
        <w:t>TBD,</w:t>
      </w:r>
      <w:r>
        <w:t xml:space="preserve"> Leader </w:t>
      </w:r>
    </w:p>
    <w:p w:rsidR="00A40B2C" w:rsidRDefault="00A40B2C" w:rsidP="00A40B2C">
      <w:pPr>
        <w:pStyle w:val="NoSpacing"/>
      </w:pPr>
      <w:r>
        <w:t>Heather Gain,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Volunteer Ambassadorship</w:t>
      </w:r>
    </w:p>
    <w:p w:rsidR="00A40B2C" w:rsidRDefault="00A40B2C" w:rsidP="00A40B2C">
      <w:pPr>
        <w:pStyle w:val="NoSpacing"/>
      </w:pPr>
      <w:r>
        <w:t>Danguole Altman AB ’81, Leader</w:t>
      </w:r>
    </w:p>
    <w:p w:rsidR="00A40B2C" w:rsidRDefault="00A40B2C" w:rsidP="00A40B2C">
      <w:pPr>
        <w:pStyle w:val="NoSpacing"/>
      </w:pPr>
      <w:r>
        <w:t>Elisabeth Bentel Carpenter AB ’87, MBA ’94, Leader</w:t>
      </w:r>
    </w:p>
    <w:p w:rsidR="00A40B2C" w:rsidRDefault="00A40B2C" w:rsidP="00A40B2C">
      <w:pPr>
        <w:pStyle w:val="NoSpacing"/>
      </w:pPr>
      <w:r>
        <w:t>Kellie Celia, Staff Liaison</w:t>
      </w:r>
    </w:p>
    <w:p w:rsidR="00A40B2C" w:rsidRDefault="00A40B2C" w:rsidP="00A40B2C">
      <w:pPr>
        <w:pStyle w:val="NoSpacing"/>
      </w:pPr>
    </w:p>
    <w:p w:rsidR="00A40B2C" w:rsidRDefault="00A40B2C" w:rsidP="00852A2E">
      <w:pPr>
        <w:pStyle w:val="NoSpacing"/>
        <w:pBdr>
          <w:bottom w:val="single" w:sz="4" w:space="1" w:color="auto"/>
        </w:pBdr>
      </w:pPr>
      <w:r>
        <w:t>Committees</w:t>
      </w:r>
      <w:r w:rsidR="00372979">
        <w:t xml:space="preserve"> 2015-2016</w:t>
      </w:r>
    </w:p>
    <w:p w:rsidR="00A40B2C" w:rsidRDefault="00A40B2C" w:rsidP="00A40B2C">
      <w:pPr>
        <w:pStyle w:val="NoSpacing"/>
      </w:pPr>
      <w:r>
        <w:t xml:space="preserve">Awards </w:t>
      </w:r>
    </w:p>
    <w:p w:rsidR="00A40B2C" w:rsidRDefault="00A40B2C" w:rsidP="00A40B2C">
      <w:pPr>
        <w:pStyle w:val="NoSpacing"/>
      </w:pPr>
      <w:r>
        <w:t>Tanya Ryk Friedman AB ’94, Chair</w:t>
      </w:r>
    </w:p>
    <w:p w:rsidR="00A40B2C" w:rsidRDefault="00A40B2C" w:rsidP="00A40B2C">
      <w:pPr>
        <w:pStyle w:val="NoSpacing"/>
      </w:pPr>
      <w:r>
        <w:t>Kate Freed ALM ’11,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Chief Marshal Selection Committee</w:t>
      </w:r>
    </w:p>
    <w:p w:rsidR="00A40B2C" w:rsidRDefault="00A40B2C" w:rsidP="00A40B2C">
      <w:pPr>
        <w:pStyle w:val="NoSpacing"/>
      </w:pPr>
      <w:r>
        <w:t xml:space="preserve">Nancy Sinsabaugh AB ’76, MBA ’78, Chair </w:t>
      </w:r>
    </w:p>
    <w:p w:rsidR="00A40B2C" w:rsidRDefault="00A40B2C" w:rsidP="00A40B2C">
      <w:pPr>
        <w:pStyle w:val="NoSpacing"/>
      </w:pPr>
      <w:r>
        <w:t>Courtney Shurtleff,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Clubs &amp; SIGs: Advancing Clubs and SIGs</w:t>
      </w:r>
    </w:p>
    <w:p w:rsidR="00A40B2C" w:rsidRDefault="00A40B2C" w:rsidP="00A40B2C">
      <w:pPr>
        <w:pStyle w:val="NoSpacing"/>
      </w:pPr>
      <w:r>
        <w:t>Katherine Kennedy AB ’88, Chair</w:t>
      </w:r>
    </w:p>
    <w:p w:rsidR="00A40B2C" w:rsidRDefault="00A40B2C" w:rsidP="00A40B2C">
      <w:pPr>
        <w:pStyle w:val="NoSpacing"/>
      </w:pPr>
      <w:r>
        <w:t>Jonathan R. Aibel AB ’91, Chair</w:t>
      </w:r>
    </w:p>
    <w:p w:rsidR="00A40B2C" w:rsidRDefault="00A40B2C" w:rsidP="00A40B2C">
      <w:pPr>
        <w:pStyle w:val="NoSpacing"/>
      </w:pPr>
      <w:r>
        <w:t>Chandra Mohammed,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Clubs &amp; SIGs: Data Insight and Strategic Marketing</w:t>
      </w:r>
    </w:p>
    <w:p w:rsidR="00A40B2C" w:rsidRDefault="00A40B2C" w:rsidP="00A40B2C">
      <w:pPr>
        <w:pStyle w:val="NoSpacing"/>
      </w:pPr>
      <w:r>
        <w:t>Amy Hanson AB ’92, Chair</w:t>
      </w:r>
    </w:p>
    <w:p w:rsidR="00A40B2C" w:rsidRDefault="00A40B2C" w:rsidP="00A40B2C">
      <w:pPr>
        <w:pStyle w:val="NoSpacing"/>
      </w:pPr>
      <w:r>
        <w:t>Rita Pang AB ’96, Chair</w:t>
      </w:r>
    </w:p>
    <w:p w:rsidR="00A40B2C" w:rsidRDefault="00A40B2C" w:rsidP="00A40B2C">
      <w:pPr>
        <w:pStyle w:val="NoSpacing"/>
      </w:pPr>
      <w:r>
        <w:t>Lauren Brodsky, Staff Liaison</w:t>
      </w:r>
    </w:p>
    <w:p w:rsidR="00A40B2C" w:rsidRDefault="00A40B2C" w:rsidP="00A40B2C">
      <w:pPr>
        <w:pStyle w:val="NoSpacing"/>
      </w:pPr>
    </w:p>
    <w:p w:rsidR="00852A2E" w:rsidRDefault="00852A2E" w:rsidP="00A40B2C">
      <w:pPr>
        <w:pStyle w:val="NoSpacing"/>
      </w:pPr>
    </w:p>
    <w:p w:rsidR="00852A2E" w:rsidRDefault="00852A2E" w:rsidP="00852A2E">
      <w:pPr>
        <w:pStyle w:val="NoSpacing"/>
        <w:pBdr>
          <w:bottom w:val="single" w:sz="4" w:space="1" w:color="auto"/>
        </w:pBdr>
      </w:pPr>
      <w:r>
        <w:lastRenderedPageBreak/>
        <w:t>Committees (cont.)</w:t>
      </w:r>
    </w:p>
    <w:p w:rsidR="00A40B2C" w:rsidRDefault="00A40B2C" w:rsidP="00A40B2C">
      <w:pPr>
        <w:pStyle w:val="NoSpacing"/>
      </w:pPr>
      <w:r>
        <w:t>Clubs &amp; SIGs: Strengthening SIGs</w:t>
      </w:r>
    </w:p>
    <w:p w:rsidR="00A40B2C" w:rsidRDefault="00A40B2C" w:rsidP="00A40B2C">
      <w:pPr>
        <w:pStyle w:val="NoSpacing"/>
      </w:pPr>
      <w:r>
        <w:t>Emily Parrott AB ’09, Chair</w:t>
      </w:r>
    </w:p>
    <w:p w:rsidR="00A40B2C" w:rsidRDefault="00A40B2C" w:rsidP="00A40B2C">
      <w:pPr>
        <w:pStyle w:val="NoSpacing"/>
      </w:pPr>
      <w:r>
        <w:t>Ryan Thoreson AB ’07, Chair</w:t>
      </w:r>
    </w:p>
    <w:p w:rsidR="00A40B2C" w:rsidRDefault="00A40B2C" w:rsidP="00A40B2C">
      <w:pPr>
        <w:pStyle w:val="NoSpacing"/>
      </w:pPr>
      <w:r>
        <w:t xml:space="preserve">Ryan Ford, Staff Liaison 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College Alumni Outreach Committee: Broadening Engagement (Year 26 Through 40th Reunion)</w:t>
      </w:r>
    </w:p>
    <w:p w:rsidR="00A40B2C" w:rsidRDefault="00A40B2C" w:rsidP="00A40B2C">
      <w:pPr>
        <w:pStyle w:val="NoSpacing"/>
      </w:pPr>
      <w:r>
        <w:t xml:space="preserve">Jonathan London AB ’88, MBA ’95, Chair </w:t>
      </w:r>
    </w:p>
    <w:p w:rsidR="00A40B2C" w:rsidRDefault="00A40B2C" w:rsidP="00A40B2C">
      <w:pPr>
        <w:pStyle w:val="NoSpacing"/>
      </w:pPr>
      <w:r>
        <w:t>Webster O’Brien AB ’86, MBA ’95, Chair</w:t>
      </w:r>
    </w:p>
    <w:p w:rsidR="00A40B2C" w:rsidRDefault="00A40B2C" w:rsidP="00A40B2C">
      <w:pPr>
        <w:pStyle w:val="NoSpacing"/>
      </w:pPr>
      <w:r>
        <w:t>Courtney Shurtleff,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College Alumni Outreach Committee: Maintaining Connections (Year 41 and Beyond)</w:t>
      </w:r>
    </w:p>
    <w:p w:rsidR="00A40B2C" w:rsidRDefault="00A40B2C" w:rsidP="00A40B2C">
      <w:pPr>
        <w:pStyle w:val="NoSpacing"/>
      </w:pPr>
      <w:r>
        <w:t xml:space="preserve">Thomas Blodgett AB ’61, MBA ’65, Chair  </w:t>
      </w:r>
    </w:p>
    <w:p w:rsidR="00A40B2C" w:rsidRDefault="00A40B2C" w:rsidP="00A40B2C">
      <w:pPr>
        <w:pStyle w:val="NoSpacing"/>
      </w:pPr>
      <w:r>
        <w:t xml:space="preserve">Ann Giese Porter AB ’62, Chair </w:t>
      </w:r>
    </w:p>
    <w:p w:rsidR="00A40B2C" w:rsidRDefault="00A40B2C" w:rsidP="00A40B2C">
      <w:pPr>
        <w:pStyle w:val="NoSpacing"/>
      </w:pPr>
      <w:r>
        <w:t>Deborah Smullyan AB ’72,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College Alumni Outreach Committee: Strengthening Foundations (Year 6 Through 25th Reunion)</w:t>
      </w:r>
    </w:p>
    <w:p w:rsidR="00A40B2C" w:rsidRDefault="00A40B2C" w:rsidP="00A40B2C">
      <w:pPr>
        <w:pStyle w:val="NoSpacing"/>
      </w:pPr>
      <w:r>
        <w:t>Vanessa W. Liu AB ’96, JD ’03, Chair</w:t>
      </w:r>
    </w:p>
    <w:p w:rsidR="00A40B2C" w:rsidRDefault="00A40B2C" w:rsidP="00A40B2C">
      <w:pPr>
        <w:pStyle w:val="NoSpacing"/>
      </w:pPr>
      <w:r>
        <w:t xml:space="preserve">Eli Rosenbaum AB ’05, JD ’08, MPP ’08, Chair </w:t>
      </w:r>
    </w:p>
    <w:p w:rsidR="00A40B2C" w:rsidRDefault="002D7B4D" w:rsidP="00A40B2C">
      <w:pPr>
        <w:pStyle w:val="NoSpacing"/>
      </w:pPr>
      <w:r>
        <w:t>Jack Cashman</w:t>
      </w:r>
      <w:r w:rsidR="00A40B2C">
        <w:t xml:space="preserve">, Staff Liaison  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Committee to Nominate Overseers and Elected Directors</w:t>
      </w:r>
    </w:p>
    <w:p w:rsidR="00A40B2C" w:rsidRDefault="00A40B2C" w:rsidP="00A40B2C">
      <w:pPr>
        <w:pStyle w:val="NoSpacing"/>
      </w:pPr>
      <w:r>
        <w:t xml:space="preserve">Leila Fawaz AM ’72, PhD ’79, Chair </w:t>
      </w:r>
    </w:p>
    <w:p w:rsidR="00A40B2C" w:rsidRDefault="00A40B2C" w:rsidP="00A40B2C">
      <w:pPr>
        <w:pStyle w:val="NoSpacing"/>
      </w:pPr>
      <w:r>
        <w:t>Kate Freed ALM ’11,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Happy Observance of Commencement</w:t>
      </w:r>
    </w:p>
    <w:p w:rsidR="00A40B2C" w:rsidRDefault="00A40B2C" w:rsidP="00A40B2C">
      <w:pPr>
        <w:pStyle w:val="NoSpacing"/>
      </w:pPr>
      <w:r>
        <w:t>Thomas E. Black AB ’66, Chair</w:t>
      </w:r>
    </w:p>
    <w:p w:rsidR="00A40B2C" w:rsidRDefault="00A40B2C" w:rsidP="00A40B2C">
      <w:pPr>
        <w:pStyle w:val="NoSpacing"/>
      </w:pPr>
      <w:r>
        <w:t>Kenneth S. Ledeen AB ’67, Chair</w:t>
      </w:r>
    </w:p>
    <w:p w:rsidR="00A40B2C" w:rsidRDefault="00A40B2C" w:rsidP="00A40B2C">
      <w:pPr>
        <w:pStyle w:val="NoSpacing"/>
      </w:pPr>
      <w:r>
        <w:t>Sara Graham,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Harvard-Cambridge Scholarships</w:t>
      </w:r>
    </w:p>
    <w:p w:rsidR="00A40B2C" w:rsidRDefault="00A40B2C" w:rsidP="00A40B2C">
      <w:pPr>
        <w:pStyle w:val="NoSpacing"/>
      </w:pPr>
      <w:r>
        <w:t>Joshua S. Goodman AB ’00, Chair</w:t>
      </w:r>
    </w:p>
    <w:p w:rsidR="00A40B2C" w:rsidRDefault="00A40B2C" w:rsidP="00A40B2C">
      <w:pPr>
        <w:pStyle w:val="NoSpacing"/>
      </w:pPr>
      <w:r>
        <w:t>Sara Graham,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>Schools &amp; Scholarships</w:t>
      </w:r>
    </w:p>
    <w:p w:rsidR="00A40B2C" w:rsidRDefault="00A40B2C" w:rsidP="00A40B2C">
      <w:pPr>
        <w:pStyle w:val="NoSpacing"/>
      </w:pPr>
      <w:r>
        <w:t>Katherine Williams Fahs AB ’83, Chair</w:t>
      </w:r>
    </w:p>
    <w:p w:rsidR="00A40B2C" w:rsidRDefault="00A40B2C" w:rsidP="00A40B2C">
      <w:pPr>
        <w:pStyle w:val="NoSpacing"/>
      </w:pPr>
      <w:r>
        <w:t>Bryce Gilfillian AB ’12, Staff Liaison</w:t>
      </w:r>
    </w:p>
    <w:p w:rsidR="00A40B2C" w:rsidRDefault="00A40B2C" w:rsidP="00A40B2C">
      <w:pPr>
        <w:pStyle w:val="NoSpacing"/>
      </w:pPr>
    </w:p>
    <w:p w:rsidR="00A40B2C" w:rsidRDefault="00A40B2C" w:rsidP="00A40B2C">
      <w:pPr>
        <w:pStyle w:val="NoSpacing"/>
      </w:pPr>
      <w:r>
        <w:t xml:space="preserve">Undergraduate and Alumni Outreach Committee: Building Community (Undergraduate </w:t>
      </w:r>
      <w:r w:rsidR="00FA293A">
        <w:t>through</w:t>
      </w:r>
      <w:r>
        <w:t xml:space="preserve"> 5th Reunion)</w:t>
      </w:r>
    </w:p>
    <w:p w:rsidR="00A40B2C" w:rsidRDefault="00A40B2C" w:rsidP="00A40B2C">
      <w:pPr>
        <w:pStyle w:val="NoSpacing"/>
      </w:pPr>
      <w:r>
        <w:t>Jonathan Jeffrey</w:t>
      </w:r>
      <w:r w:rsidR="00AA56F4">
        <w:t xml:space="preserve"> AB</w:t>
      </w:r>
      <w:r>
        <w:t xml:space="preserve"> </w:t>
      </w:r>
      <w:r w:rsidR="00FA293A">
        <w:t>’16,</w:t>
      </w:r>
      <w:r>
        <w:t xml:space="preserve"> Chair</w:t>
      </w:r>
    </w:p>
    <w:p w:rsidR="00A40B2C" w:rsidRDefault="00A40B2C" w:rsidP="00A40B2C">
      <w:pPr>
        <w:pStyle w:val="NoSpacing"/>
      </w:pPr>
      <w:r>
        <w:t>Ryley Reynolds AB ’15, Chair</w:t>
      </w:r>
    </w:p>
    <w:p w:rsidR="00AA403A" w:rsidRPr="002D7B4D" w:rsidRDefault="00AA56F4" w:rsidP="00852A2E">
      <w:pPr>
        <w:pStyle w:val="NoSpacing"/>
      </w:pPr>
      <w:r>
        <w:t>John Prince AB ’13</w:t>
      </w:r>
      <w:r w:rsidR="00A40B2C">
        <w:t>, Staff Liaison</w:t>
      </w:r>
    </w:p>
    <w:sectPr w:rsidR="00AA403A" w:rsidRPr="002D7B4D" w:rsidSect="00852A2E">
      <w:type w:val="continuous"/>
      <w:pgSz w:w="12240" w:h="15840"/>
      <w:pgMar w:top="1440" w:right="1080" w:bottom="1440" w:left="108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22" w:rsidRDefault="009E5722" w:rsidP="009E5722">
      <w:r>
        <w:separator/>
      </w:r>
    </w:p>
  </w:endnote>
  <w:endnote w:type="continuationSeparator" w:id="0">
    <w:p w:rsidR="009E5722" w:rsidRDefault="009E5722" w:rsidP="009E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196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722" w:rsidRDefault="009E57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0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5722" w:rsidRDefault="009E5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22" w:rsidRDefault="009E5722" w:rsidP="009E5722">
      <w:r>
        <w:separator/>
      </w:r>
    </w:p>
  </w:footnote>
  <w:footnote w:type="continuationSeparator" w:id="0">
    <w:p w:rsidR="009E5722" w:rsidRDefault="009E5722" w:rsidP="009E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ECAC5A"/>
    <w:lvl w:ilvl="0">
      <w:numFmt w:val="bullet"/>
      <w:lvlText w:val="*"/>
      <w:lvlJc w:val="left"/>
    </w:lvl>
  </w:abstractNum>
  <w:abstractNum w:abstractNumId="1">
    <w:nsid w:val="084F00DC"/>
    <w:multiLevelType w:val="hybridMultilevel"/>
    <w:tmpl w:val="47BC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F4C02"/>
    <w:multiLevelType w:val="hybridMultilevel"/>
    <w:tmpl w:val="62EE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4B55"/>
    <w:multiLevelType w:val="hybridMultilevel"/>
    <w:tmpl w:val="457C2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45032"/>
    <w:multiLevelType w:val="hybridMultilevel"/>
    <w:tmpl w:val="AAA4D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5641D"/>
    <w:multiLevelType w:val="hybridMultilevel"/>
    <w:tmpl w:val="17209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461E5"/>
    <w:multiLevelType w:val="hybridMultilevel"/>
    <w:tmpl w:val="9F868450"/>
    <w:lvl w:ilvl="0" w:tplc="9310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0AC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C02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527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07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63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A0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27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608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4"/>
    <w:rsid w:val="00020087"/>
    <w:rsid w:val="000A7AD5"/>
    <w:rsid w:val="000B289C"/>
    <w:rsid w:val="00143CD4"/>
    <w:rsid w:val="0015080C"/>
    <w:rsid w:val="00186333"/>
    <w:rsid w:val="001A420D"/>
    <w:rsid w:val="001D25D9"/>
    <w:rsid w:val="001F606A"/>
    <w:rsid w:val="00201681"/>
    <w:rsid w:val="00214B6B"/>
    <w:rsid w:val="00224CAB"/>
    <w:rsid w:val="002915CA"/>
    <w:rsid w:val="002B5F9E"/>
    <w:rsid w:val="002D4678"/>
    <w:rsid w:val="002D7B4D"/>
    <w:rsid w:val="002F55C1"/>
    <w:rsid w:val="00340976"/>
    <w:rsid w:val="0035065A"/>
    <w:rsid w:val="00364A9D"/>
    <w:rsid w:val="00365A85"/>
    <w:rsid w:val="00370889"/>
    <w:rsid w:val="00372979"/>
    <w:rsid w:val="00381EF3"/>
    <w:rsid w:val="00385C86"/>
    <w:rsid w:val="004E2134"/>
    <w:rsid w:val="00537639"/>
    <w:rsid w:val="00571ACB"/>
    <w:rsid w:val="005804BE"/>
    <w:rsid w:val="00626E76"/>
    <w:rsid w:val="006866DA"/>
    <w:rsid w:val="007C5C3A"/>
    <w:rsid w:val="00812780"/>
    <w:rsid w:val="00852A2E"/>
    <w:rsid w:val="008928F6"/>
    <w:rsid w:val="00932CD0"/>
    <w:rsid w:val="00941275"/>
    <w:rsid w:val="00995AB9"/>
    <w:rsid w:val="009B5AD8"/>
    <w:rsid w:val="009E5722"/>
    <w:rsid w:val="00A01F73"/>
    <w:rsid w:val="00A13E86"/>
    <w:rsid w:val="00A40B2C"/>
    <w:rsid w:val="00A43A20"/>
    <w:rsid w:val="00AA403A"/>
    <w:rsid w:val="00AA56F4"/>
    <w:rsid w:val="00B27965"/>
    <w:rsid w:val="00B91EE7"/>
    <w:rsid w:val="00BB2A6C"/>
    <w:rsid w:val="00BC74F0"/>
    <w:rsid w:val="00C45759"/>
    <w:rsid w:val="00C554E7"/>
    <w:rsid w:val="00C723BA"/>
    <w:rsid w:val="00CA6FCE"/>
    <w:rsid w:val="00CD34A7"/>
    <w:rsid w:val="00D11B3F"/>
    <w:rsid w:val="00D70B06"/>
    <w:rsid w:val="00DF215E"/>
    <w:rsid w:val="00E5115C"/>
    <w:rsid w:val="00EC10A5"/>
    <w:rsid w:val="00F134DB"/>
    <w:rsid w:val="00FA293A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8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1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2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5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2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8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1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2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5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2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9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D8145B-30BF-4007-A745-87B10CA4DF80}" type="doc">
      <dgm:prSet loTypeId="urn:microsoft.com/office/officeart/2005/8/layout/chevron1" loCatId="process" qsTypeId="urn:microsoft.com/office/officeart/2005/8/quickstyle/simple4" qsCatId="simple" csTypeId="urn:microsoft.com/office/officeart/2005/8/colors/accent2_2" csCatId="accent2" phldr="1"/>
      <dgm:spPr/>
    </dgm:pt>
    <dgm:pt modelId="{97B9A1E5-EC16-412F-9241-B9500628F5E5}">
      <dgm:prSet phldrT="[Text]"/>
      <dgm:spPr/>
      <dgm:t>
        <a:bodyPr/>
        <a:lstStyle/>
        <a:p>
          <a:r>
            <a:rPr lang="en-US" dirty="0" smtClean="0"/>
            <a:t>Engagement</a:t>
          </a:r>
          <a:endParaRPr lang="en-US" dirty="0"/>
        </a:p>
      </dgm:t>
    </dgm:pt>
    <dgm:pt modelId="{FA719CDB-59BB-4546-9960-99B66A84BC58}" type="parTrans" cxnId="{D4B614E2-FED3-43AC-9BFA-592D03ABFB40}">
      <dgm:prSet/>
      <dgm:spPr/>
      <dgm:t>
        <a:bodyPr/>
        <a:lstStyle/>
        <a:p>
          <a:endParaRPr lang="en-US"/>
        </a:p>
      </dgm:t>
    </dgm:pt>
    <dgm:pt modelId="{B0B99286-081B-4070-9B18-19D1F5055855}" type="sibTrans" cxnId="{D4B614E2-FED3-43AC-9BFA-592D03ABFB40}">
      <dgm:prSet/>
      <dgm:spPr/>
      <dgm:t>
        <a:bodyPr/>
        <a:lstStyle/>
        <a:p>
          <a:endParaRPr lang="en-US"/>
        </a:p>
      </dgm:t>
    </dgm:pt>
    <dgm:pt modelId="{24085CD8-9372-4C61-BAA1-825082DF87F7}">
      <dgm:prSet phldrT="[Text]"/>
      <dgm:spPr/>
      <dgm:t>
        <a:bodyPr/>
        <a:lstStyle/>
        <a:p>
          <a:r>
            <a:rPr lang="en-US" dirty="0" smtClean="0"/>
            <a:t>Citizenship</a:t>
          </a:r>
          <a:endParaRPr lang="en-US" dirty="0"/>
        </a:p>
      </dgm:t>
    </dgm:pt>
    <dgm:pt modelId="{E7B44B91-DDFE-4EE6-B9E2-EFFC8B3518D3}" type="parTrans" cxnId="{0A82C942-EF6C-44E2-AAB5-5997BB0E8768}">
      <dgm:prSet/>
      <dgm:spPr/>
      <dgm:t>
        <a:bodyPr/>
        <a:lstStyle/>
        <a:p>
          <a:endParaRPr lang="en-US"/>
        </a:p>
      </dgm:t>
    </dgm:pt>
    <dgm:pt modelId="{D21F922C-E131-4A9C-A339-1BE8B315BC2A}" type="sibTrans" cxnId="{0A82C942-EF6C-44E2-AAB5-5997BB0E8768}">
      <dgm:prSet/>
      <dgm:spPr/>
      <dgm:t>
        <a:bodyPr/>
        <a:lstStyle/>
        <a:p>
          <a:endParaRPr lang="en-US"/>
        </a:p>
      </dgm:t>
    </dgm:pt>
    <dgm:pt modelId="{7C8D97F2-FAF2-4420-811B-BFB3200052AE}">
      <dgm:prSet phldrT="[Text]"/>
      <dgm:spPr/>
      <dgm:t>
        <a:bodyPr/>
        <a:lstStyle/>
        <a:p>
          <a:r>
            <a:rPr lang="en-US" dirty="0" smtClean="0"/>
            <a:t>The Harvard of tomorrow </a:t>
          </a:r>
          <a:endParaRPr lang="en-US" dirty="0"/>
        </a:p>
      </dgm:t>
    </dgm:pt>
    <dgm:pt modelId="{50D888F6-0AD3-46D1-B055-361E97173C32}" type="parTrans" cxnId="{E4E933F8-A968-4CF3-ABA7-F471B0158C79}">
      <dgm:prSet/>
      <dgm:spPr/>
      <dgm:t>
        <a:bodyPr/>
        <a:lstStyle/>
        <a:p>
          <a:endParaRPr lang="en-US"/>
        </a:p>
      </dgm:t>
    </dgm:pt>
    <dgm:pt modelId="{0F38B4F9-CA2F-49C7-B605-5E533D42E17D}" type="sibTrans" cxnId="{E4E933F8-A968-4CF3-ABA7-F471B0158C79}">
      <dgm:prSet/>
      <dgm:spPr/>
      <dgm:t>
        <a:bodyPr/>
        <a:lstStyle/>
        <a:p>
          <a:endParaRPr lang="en-US"/>
        </a:p>
      </dgm:t>
    </dgm:pt>
    <dgm:pt modelId="{B1F36013-9A11-41C0-B528-B154626D11FB}" type="pres">
      <dgm:prSet presAssocID="{67D8145B-30BF-4007-A745-87B10CA4DF80}" presName="Name0" presStyleCnt="0">
        <dgm:presLayoutVars>
          <dgm:dir/>
          <dgm:animLvl val="lvl"/>
          <dgm:resizeHandles val="exact"/>
        </dgm:presLayoutVars>
      </dgm:prSet>
      <dgm:spPr/>
    </dgm:pt>
    <dgm:pt modelId="{9281A04A-CE46-490C-B424-D77CEDF8ECDE}" type="pres">
      <dgm:prSet presAssocID="{97B9A1E5-EC16-412F-9241-B9500628F5E5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C18C02-E224-4F01-B4EF-0BF82223467C}" type="pres">
      <dgm:prSet presAssocID="{B0B99286-081B-4070-9B18-19D1F5055855}" presName="parTxOnlySpace" presStyleCnt="0"/>
      <dgm:spPr/>
    </dgm:pt>
    <dgm:pt modelId="{207F1791-8696-4D36-B262-09C45530D5E9}" type="pres">
      <dgm:prSet presAssocID="{24085CD8-9372-4C61-BAA1-825082DF87F7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6FB886-D337-4F34-BFEF-221F5174263C}" type="pres">
      <dgm:prSet presAssocID="{D21F922C-E131-4A9C-A339-1BE8B315BC2A}" presName="parTxOnlySpace" presStyleCnt="0"/>
      <dgm:spPr/>
    </dgm:pt>
    <dgm:pt modelId="{5A1F6DD3-BD6F-4B3D-B58C-63BF586008EC}" type="pres">
      <dgm:prSet presAssocID="{7C8D97F2-FAF2-4420-811B-BFB3200052AE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23E44DF-79A7-4C56-8A29-F91CE93049A3}" type="presOf" srcId="{7C8D97F2-FAF2-4420-811B-BFB3200052AE}" destId="{5A1F6DD3-BD6F-4B3D-B58C-63BF586008EC}" srcOrd="0" destOrd="0" presId="urn:microsoft.com/office/officeart/2005/8/layout/chevron1"/>
    <dgm:cxn modelId="{BBCC4D6F-11F2-462B-94B3-1FA33B3BECC2}" type="presOf" srcId="{24085CD8-9372-4C61-BAA1-825082DF87F7}" destId="{207F1791-8696-4D36-B262-09C45530D5E9}" srcOrd="0" destOrd="0" presId="urn:microsoft.com/office/officeart/2005/8/layout/chevron1"/>
    <dgm:cxn modelId="{D4B614E2-FED3-43AC-9BFA-592D03ABFB40}" srcId="{67D8145B-30BF-4007-A745-87B10CA4DF80}" destId="{97B9A1E5-EC16-412F-9241-B9500628F5E5}" srcOrd="0" destOrd="0" parTransId="{FA719CDB-59BB-4546-9960-99B66A84BC58}" sibTransId="{B0B99286-081B-4070-9B18-19D1F5055855}"/>
    <dgm:cxn modelId="{D5CE6219-685E-4B89-B9CD-D1FF050FEBF3}" type="presOf" srcId="{67D8145B-30BF-4007-A745-87B10CA4DF80}" destId="{B1F36013-9A11-41C0-B528-B154626D11FB}" srcOrd="0" destOrd="0" presId="urn:microsoft.com/office/officeart/2005/8/layout/chevron1"/>
    <dgm:cxn modelId="{0A82C942-EF6C-44E2-AAB5-5997BB0E8768}" srcId="{67D8145B-30BF-4007-A745-87B10CA4DF80}" destId="{24085CD8-9372-4C61-BAA1-825082DF87F7}" srcOrd="1" destOrd="0" parTransId="{E7B44B91-DDFE-4EE6-B9E2-EFFC8B3518D3}" sibTransId="{D21F922C-E131-4A9C-A339-1BE8B315BC2A}"/>
    <dgm:cxn modelId="{E4E933F8-A968-4CF3-ABA7-F471B0158C79}" srcId="{67D8145B-30BF-4007-A745-87B10CA4DF80}" destId="{7C8D97F2-FAF2-4420-811B-BFB3200052AE}" srcOrd="2" destOrd="0" parTransId="{50D888F6-0AD3-46D1-B055-361E97173C32}" sibTransId="{0F38B4F9-CA2F-49C7-B605-5E533D42E17D}"/>
    <dgm:cxn modelId="{61010606-83D5-45F0-B42D-53E46A211CFD}" type="presOf" srcId="{97B9A1E5-EC16-412F-9241-B9500628F5E5}" destId="{9281A04A-CE46-490C-B424-D77CEDF8ECDE}" srcOrd="0" destOrd="0" presId="urn:microsoft.com/office/officeart/2005/8/layout/chevron1"/>
    <dgm:cxn modelId="{087B5DBD-2CEE-4FFA-B49C-5BF2369130F0}" type="presParOf" srcId="{B1F36013-9A11-41C0-B528-B154626D11FB}" destId="{9281A04A-CE46-490C-B424-D77CEDF8ECDE}" srcOrd="0" destOrd="0" presId="urn:microsoft.com/office/officeart/2005/8/layout/chevron1"/>
    <dgm:cxn modelId="{97E9353D-CF15-4225-93F4-E7E6D34E5051}" type="presParOf" srcId="{B1F36013-9A11-41C0-B528-B154626D11FB}" destId="{8CC18C02-E224-4F01-B4EF-0BF82223467C}" srcOrd="1" destOrd="0" presId="urn:microsoft.com/office/officeart/2005/8/layout/chevron1"/>
    <dgm:cxn modelId="{88E75BB9-A44C-4050-898B-6E1EB172DE60}" type="presParOf" srcId="{B1F36013-9A11-41C0-B528-B154626D11FB}" destId="{207F1791-8696-4D36-B262-09C45530D5E9}" srcOrd="2" destOrd="0" presId="urn:microsoft.com/office/officeart/2005/8/layout/chevron1"/>
    <dgm:cxn modelId="{175B4519-062D-4B71-83DD-EF94933CD78E}" type="presParOf" srcId="{B1F36013-9A11-41C0-B528-B154626D11FB}" destId="{C66FB886-D337-4F34-BFEF-221F5174263C}" srcOrd="3" destOrd="0" presId="urn:microsoft.com/office/officeart/2005/8/layout/chevron1"/>
    <dgm:cxn modelId="{03838484-1D9F-44A7-925B-55FEFE5382EB}" type="presParOf" srcId="{B1F36013-9A11-41C0-B528-B154626D11FB}" destId="{5A1F6DD3-BD6F-4B3D-B58C-63BF586008EC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81A04A-CE46-490C-B424-D77CEDF8ECDE}">
      <dsp:nvSpPr>
        <dsp:cNvPr id="0" name=""/>
        <dsp:cNvSpPr/>
      </dsp:nvSpPr>
      <dsp:spPr>
        <a:xfrm>
          <a:off x="1047" y="293519"/>
          <a:ext cx="1275602" cy="510240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Engagement</a:t>
          </a:r>
          <a:endParaRPr lang="en-US" sz="1000" kern="1200" dirty="0"/>
        </a:p>
      </dsp:txBody>
      <dsp:txXfrm>
        <a:off x="256167" y="293519"/>
        <a:ext cx="765362" cy="510240"/>
      </dsp:txXfrm>
    </dsp:sp>
    <dsp:sp modelId="{207F1791-8696-4D36-B262-09C45530D5E9}">
      <dsp:nvSpPr>
        <dsp:cNvPr id="0" name=""/>
        <dsp:cNvSpPr/>
      </dsp:nvSpPr>
      <dsp:spPr>
        <a:xfrm>
          <a:off x="1149088" y="293519"/>
          <a:ext cx="1275602" cy="510240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Citizenship</a:t>
          </a:r>
          <a:endParaRPr lang="en-US" sz="1000" kern="1200" dirty="0"/>
        </a:p>
      </dsp:txBody>
      <dsp:txXfrm>
        <a:off x="1404208" y="293519"/>
        <a:ext cx="765362" cy="510240"/>
      </dsp:txXfrm>
    </dsp:sp>
    <dsp:sp modelId="{5A1F6DD3-BD6F-4B3D-B58C-63BF586008EC}">
      <dsp:nvSpPr>
        <dsp:cNvPr id="0" name=""/>
        <dsp:cNvSpPr/>
      </dsp:nvSpPr>
      <dsp:spPr>
        <a:xfrm>
          <a:off x="2297130" y="293519"/>
          <a:ext cx="1275602" cy="510240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The Harvard of tomorrow </a:t>
          </a:r>
          <a:endParaRPr lang="en-US" sz="1000" kern="1200" dirty="0"/>
        </a:p>
      </dsp:txBody>
      <dsp:txXfrm>
        <a:off x="2552250" y="293519"/>
        <a:ext cx="765362" cy="510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DeAmicis</dc:creator>
  <cp:lastModifiedBy>jef066</cp:lastModifiedBy>
  <cp:revision>2</cp:revision>
  <cp:lastPrinted>2015-08-27T21:00:00Z</cp:lastPrinted>
  <dcterms:created xsi:type="dcterms:W3CDTF">2015-09-29T18:39:00Z</dcterms:created>
  <dcterms:modified xsi:type="dcterms:W3CDTF">2015-09-29T18:39:00Z</dcterms:modified>
</cp:coreProperties>
</file>